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824391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16B5E" w:rsidRPr="00416B5E">
        <w:rPr>
          <w:rFonts w:ascii="Verdana" w:hAnsi="Verdana"/>
          <w:sz w:val="18"/>
          <w:szCs w:val="18"/>
        </w:rPr>
        <w:t>Provádění periodických prohlídek a oprav MUV 77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416B5E">
        <w:rPr>
          <w:b/>
          <w:bCs/>
        </w:rPr>
        <w:t>Účastník doloží toto prohlášení pouze v případě, že postupuje dle bodu 21.2 a 21.3 výzvy k</w:t>
      </w:r>
      <w:r w:rsidR="009E34DB" w:rsidRPr="00416B5E">
        <w:rPr>
          <w:b/>
          <w:bCs/>
        </w:rPr>
        <w:t> </w:t>
      </w:r>
      <w:r w:rsidRPr="00416B5E">
        <w:rPr>
          <w:b/>
          <w:bCs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6B5E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95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37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2018-11-26T13:17:00Z</dcterms:created>
  <dcterms:modified xsi:type="dcterms:W3CDTF">2024-01-31T13:49:00Z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